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C414" w14:textId="77777777" w:rsidR="00F259B3" w:rsidRDefault="00F259B3" w:rsidP="00F259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ASCC Arts and Humanities 2 Panel </w:t>
      </w:r>
    </w:p>
    <w:p w14:paraId="05501846" w14:textId="6F277169" w:rsidR="00F259B3" w:rsidRDefault="007D47A6" w:rsidP="00F259B3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246643">
        <w:rPr>
          <w:sz w:val="24"/>
          <w:szCs w:val="24"/>
        </w:rPr>
        <w:t>pproved</w:t>
      </w:r>
      <w:r w:rsidR="00F259B3">
        <w:rPr>
          <w:sz w:val="24"/>
          <w:szCs w:val="24"/>
        </w:rPr>
        <w:t xml:space="preserve"> Minutes</w:t>
      </w:r>
    </w:p>
    <w:p w14:paraId="6CBFE335" w14:textId="23FEEA90" w:rsidR="00F259B3" w:rsidRDefault="00F259B3" w:rsidP="00F259B3">
      <w:pPr>
        <w:rPr>
          <w:sz w:val="24"/>
          <w:szCs w:val="24"/>
        </w:rPr>
      </w:pPr>
      <w:r>
        <w:rPr>
          <w:sz w:val="24"/>
          <w:szCs w:val="24"/>
        </w:rPr>
        <w:t>Thursday, April 28,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3:00 PM – 4:30 PM</w:t>
      </w:r>
    </w:p>
    <w:p w14:paraId="187C67C9" w14:textId="77777777" w:rsidR="00F259B3" w:rsidRDefault="00F259B3" w:rsidP="00F259B3">
      <w:pPr>
        <w:rPr>
          <w:sz w:val="24"/>
          <w:szCs w:val="24"/>
        </w:rPr>
      </w:pPr>
      <w:r>
        <w:rPr>
          <w:sz w:val="24"/>
          <w:szCs w:val="24"/>
        </w:rPr>
        <w:t>CarmenZoom</w:t>
      </w:r>
    </w:p>
    <w:p w14:paraId="77A6437D" w14:textId="040343E2" w:rsidR="00F259B3" w:rsidRDefault="00F259B3" w:rsidP="00F259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Attendees</w:t>
      </w:r>
      <w:r>
        <w:rPr>
          <w:sz w:val="24"/>
          <w:szCs w:val="24"/>
        </w:rPr>
        <w:t>: Bitters, Cody, Parsons, Romero, Steele, Vankeerbergen, Wilson</w:t>
      </w:r>
    </w:p>
    <w:p w14:paraId="4077F876" w14:textId="795FAD03" w:rsidR="00F259B3" w:rsidRDefault="00F259B3" w:rsidP="00F259B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4-14-22 minutes</w:t>
      </w:r>
    </w:p>
    <w:p w14:paraId="5583AFFE" w14:textId="5560930C" w:rsidR="00F259B3" w:rsidRPr="00360D46" w:rsidRDefault="008209C2" w:rsidP="00F259B3">
      <w:pPr>
        <w:numPr>
          <w:ilvl w:val="1"/>
          <w:numId w:val="1"/>
        </w:numPr>
        <w:rPr>
          <w:sz w:val="24"/>
          <w:szCs w:val="24"/>
        </w:rPr>
      </w:pPr>
      <w:r w:rsidRPr="00360D46">
        <w:rPr>
          <w:sz w:val="24"/>
          <w:szCs w:val="24"/>
        </w:rPr>
        <w:t>Parsons</w:t>
      </w:r>
      <w:r w:rsidR="00F259B3" w:rsidRPr="00360D46">
        <w:rPr>
          <w:sz w:val="24"/>
          <w:szCs w:val="24"/>
        </w:rPr>
        <w:t xml:space="preserve">, Wilson; </w:t>
      </w:r>
      <w:r w:rsidR="00F259B3" w:rsidRPr="00360D46">
        <w:rPr>
          <w:b/>
          <w:bCs/>
          <w:sz w:val="24"/>
          <w:szCs w:val="24"/>
        </w:rPr>
        <w:t>unanimously approved</w:t>
      </w:r>
    </w:p>
    <w:p w14:paraId="2FD20F68" w14:textId="71890123" w:rsidR="00306641" w:rsidRPr="00360D46" w:rsidRDefault="00306641" w:rsidP="00306641">
      <w:pPr>
        <w:numPr>
          <w:ilvl w:val="0"/>
          <w:numId w:val="1"/>
        </w:numPr>
        <w:rPr>
          <w:sz w:val="24"/>
          <w:szCs w:val="24"/>
        </w:rPr>
      </w:pPr>
      <w:r w:rsidRPr="00360D46">
        <w:rPr>
          <w:sz w:val="24"/>
          <w:szCs w:val="24"/>
        </w:rPr>
        <w:t>History of Art 3905 (new course; requesting new GE Theme Lived Environments with Interdisciplinary Team-Teaching High Impact Practice) (cross-listed with International Studies 3905) (return)</w:t>
      </w:r>
    </w:p>
    <w:p w14:paraId="5418B94F" w14:textId="2BBECD35" w:rsidR="00A05B02" w:rsidRPr="00A05B02" w:rsidRDefault="00A05B02" w:rsidP="00A05B0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A05B02">
        <w:rPr>
          <w:b/>
          <w:bCs/>
          <w:sz w:val="24"/>
          <w:szCs w:val="24"/>
        </w:rPr>
        <w:t>The Panel requests that the department seek concurrence from the Department of Theatre, Film, and Media Arts.</w:t>
      </w:r>
    </w:p>
    <w:p w14:paraId="3DC94785" w14:textId="24BCDC20" w:rsidR="00BD44C4" w:rsidRPr="00BD44C4" w:rsidRDefault="00BD44C4" w:rsidP="0037634C">
      <w:pPr>
        <w:numPr>
          <w:ilvl w:val="1"/>
          <w:numId w:val="1"/>
        </w:numPr>
        <w:spacing w:line="252" w:lineRule="auto"/>
        <w:rPr>
          <w:sz w:val="24"/>
          <w:szCs w:val="24"/>
        </w:rPr>
      </w:pPr>
      <w:r w:rsidRPr="00BD44C4">
        <w:rPr>
          <w:rFonts w:eastAsia="Times New Roman"/>
          <w:i/>
          <w:iCs/>
          <w:sz w:val="24"/>
          <w:szCs w:val="24"/>
        </w:rPr>
        <w:t>The Panel recommends double-checking the syllabus document for any language leftover from the online version of the course.  For example, on page</w:t>
      </w:r>
      <w:r w:rsidR="00960625">
        <w:rPr>
          <w:rFonts w:eastAsia="Times New Roman"/>
          <w:i/>
          <w:iCs/>
          <w:sz w:val="24"/>
          <w:szCs w:val="24"/>
        </w:rPr>
        <w:t>s</w:t>
      </w:r>
      <w:r w:rsidRPr="00BD44C4">
        <w:rPr>
          <w:rFonts w:eastAsia="Times New Roman"/>
          <w:i/>
          <w:iCs/>
          <w:sz w:val="24"/>
          <w:szCs w:val="24"/>
        </w:rPr>
        <w:t xml:space="preserve"> 5 and 6</w:t>
      </w:r>
      <w:r w:rsidR="00960625">
        <w:rPr>
          <w:rFonts w:eastAsia="Times New Roman"/>
          <w:i/>
          <w:iCs/>
          <w:sz w:val="24"/>
          <w:szCs w:val="24"/>
        </w:rPr>
        <w:t>,</w:t>
      </w:r>
      <w:r w:rsidRPr="00BD44C4">
        <w:rPr>
          <w:rFonts w:eastAsia="Times New Roman"/>
          <w:i/>
          <w:iCs/>
          <w:sz w:val="24"/>
          <w:szCs w:val="24"/>
        </w:rPr>
        <w:t xml:space="preserve"> respectively, there are references to the “pace of online activities” and </w:t>
      </w:r>
      <w:r>
        <w:rPr>
          <w:rFonts w:eastAsia="Times New Roman"/>
          <w:i/>
          <w:iCs/>
          <w:sz w:val="24"/>
          <w:szCs w:val="24"/>
        </w:rPr>
        <w:t xml:space="preserve">aspects </w:t>
      </w:r>
      <w:r w:rsidR="00DD0DD6">
        <w:rPr>
          <w:rFonts w:eastAsia="Times New Roman"/>
          <w:i/>
          <w:iCs/>
          <w:sz w:val="24"/>
          <w:szCs w:val="24"/>
        </w:rPr>
        <w:t xml:space="preserve">of </w:t>
      </w:r>
      <w:r>
        <w:rPr>
          <w:rFonts w:eastAsia="Times New Roman"/>
          <w:i/>
          <w:iCs/>
          <w:sz w:val="24"/>
          <w:szCs w:val="24"/>
        </w:rPr>
        <w:t>direct instruction occurring “through Zoom.”</w:t>
      </w:r>
    </w:p>
    <w:p w14:paraId="211C467D" w14:textId="536B9EF5" w:rsidR="00774854" w:rsidRPr="00E82265" w:rsidRDefault="00E82265" w:rsidP="00E82265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E82265">
        <w:rPr>
          <w:i/>
          <w:iCs/>
          <w:sz w:val="24"/>
          <w:szCs w:val="24"/>
        </w:rPr>
        <w:t xml:space="preserve">The Panel notes that the syllabus should include a small narrative description of how the class intends to meet the goals and ELOs for the </w:t>
      </w:r>
      <w:r w:rsidR="00722D2A">
        <w:rPr>
          <w:i/>
          <w:iCs/>
          <w:sz w:val="24"/>
          <w:szCs w:val="24"/>
        </w:rPr>
        <w:t>Lived Environments</w:t>
      </w:r>
      <w:r w:rsidRPr="00E82265">
        <w:rPr>
          <w:i/>
          <w:iCs/>
          <w:sz w:val="24"/>
          <w:szCs w:val="24"/>
        </w:rPr>
        <w:t xml:space="preserve"> theme.  The Themes Panel will send this back to the department as a contingency because the full listing of the goals and ELOs </w:t>
      </w:r>
      <w:r w:rsidR="00DD0DD6">
        <w:rPr>
          <w:i/>
          <w:iCs/>
          <w:sz w:val="24"/>
          <w:szCs w:val="24"/>
        </w:rPr>
        <w:t>and</w:t>
      </w:r>
      <w:r w:rsidRPr="00E82265">
        <w:rPr>
          <w:i/>
          <w:iCs/>
          <w:sz w:val="24"/>
          <w:szCs w:val="24"/>
        </w:rPr>
        <w:t xml:space="preserve"> an explanatory paragraph are required syllabus items; the Panel strongly recommends that the department make these revisions prior to review at the Themes Panel.  The complete list of goals and ELOs </w:t>
      </w:r>
      <w:r w:rsidR="00DD0DD6">
        <w:rPr>
          <w:i/>
          <w:iCs/>
          <w:sz w:val="24"/>
          <w:szCs w:val="24"/>
        </w:rPr>
        <w:t>is</w:t>
      </w:r>
      <w:r w:rsidR="00DD0DD6" w:rsidRPr="00E82265">
        <w:rPr>
          <w:i/>
          <w:iCs/>
          <w:sz w:val="24"/>
          <w:szCs w:val="24"/>
        </w:rPr>
        <w:t xml:space="preserve"> </w:t>
      </w:r>
      <w:r w:rsidRPr="00E82265">
        <w:rPr>
          <w:i/>
          <w:iCs/>
          <w:sz w:val="24"/>
          <w:szCs w:val="24"/>
        </w:rPr>
        <w:t xml:space="preserve">available here:  </w:t>
      </w:r>
      <w:hyperlink r:id="rId6" w:history="1">
        <w:r w:rsidRPr="00E82265">
          <w:rPr>
            <w:rStyle w:val="Hyperlink"/>
            <w:i/>
            <w:iCs/>
            <w:sz w:val="24"/>
            <w:szCs w:val="24"/>
          </w:rPr>
          <w:t>https://oaa.osu.edu/ohio-state-ge-program</w:t>
        </w:r>
      </w:hyperlink>
      <w:r w:rsidRPr="00E82265">
        <w:rPr>
          <w:i/>
          <w:iCs/>
          <w:sz w:val="24"/>
          <w:szCs w:val="24"/>
        </w:rPr>
        <w:t xml:space="preserve"> </w:t>
      </w:r>
    </w:p>
    <w:p w14:paraId="2D78C431" w14:textId="329E18E1" w:rsidR="003F34C9" w:rsidRDefault="00B203B1" w:rsidP="003F34C9">
      <w:pPr>
        <w:numPr>
          <w:ilvl w:val="1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The Panel strongly recommends underscoring</w:t>
      </w:r>
      <w:r w:rsidR="006E4B43">
        <w:rPr>
          <w:i/>
          <w:iCs/>
          <w:sz w:val="24"/>
          <w:szCs w:val="24"/>
        </w:rPr>
        <w:t xml:space="preserve"> in the syllabus</w:t>
      </w:r>
      <w:r>
        <w:rPr>
          <w:i/>
          <w:iCs/>
          <w:sz w:val="24"/>
          <w:szCs w:val="24"/>
        </w:rPr>
        <w:t xml:space="preserve"> how team-teaching will influence the way that the course unfolds</w:t>
      </w:r>
      <w:r w:rsidR="00955FA7">
        <w:rPr>
          <w:i/>
          <w:iCs/>
          <w:sz w:val="24"/>
          <w:szCs w:val="24"/>
        </w:rPr>
        <w:t xml:space="preserve">; for instance, one place the instructor might elaborate on the team-teaching features of the class is in the “how this course works” section.  </w:t>
      </w:r>
    </w:p>
    <w:p w14:paraId="70AB3F06" w14:textId="501B4239" w:rsidR="00A10F49" w:rsidRPr="00A20527" w:rsidRDefault="00A70777" w:rsidP="00306641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Parsons, Wilson</w:t>
      </w:r>
      <w:r w:rsidR="000B66C8">
        <w:rPr>
          <w:sz w:val="24"/>
          <w:szCs w:val="24"/>
        </w:rPr>
        <w:t xml:space="preserve">; </w:t>
      </w:r>
      <w:r>
        <w:rPr>
          <w:b/>
          <w:bCs/>
          <w:sz w:val="24"/>
          <w:szCs w:val="24"/>
        </w:rPr>
        <w:t xml:space="preserve">unanimously approved </w:t>
      </w:r>
      <w:r>
        <w:rPr>
          <w:sz w:val="24"/>
          <w:szCs w:val="24"/>
        </w:rPr>
        <w:t xml:space="preserve">with </w:t>
      </w:r>
      <w:r>
        <w:rPr>
          <w:b/>
          <w:bCs/>
          <w:sz w:val="24"/>
          <w:szCs w:val="24"/>
        </w:rPr>
        <w:t xml:space="preserve">one (1) contingency </w:t>
      </w:r>
      <w:r>
        <w:rPr>
          <w:sz w:val="24"/>
          <w:szCs w:val="24"/>
        </w:rPr>
        <w:t xml:space="preserve">(in bold above) and </w:t>
      </w:r>
      <w:r>
        <w:rPr>
          <w:i/>
          <w:iCs/>
          <w:sz w:val="24"/>
          <w:szCs w:val="24"/>
        </w:rPr>
        <w:t xml:space="preserve">three (3) recommendations </w:t>
      </w:r>
      <w:r>
        <w:rPr>
          <w:sz w:val="24"/>
          <w:szCs w:val="24"/>
        </w:rPr>
        <w:t>(in italics above)</w:t>
      </w:r>
    </w:p>
    <w:p w14:paraId="40C87673" w14:textId="02DFABC6" w:rsidR="00A20527" w:rsidRDefault="00A20527" w:rsidP="00A20527">
      <w:pPr>
        <w:rPr>
          <w:sz w:val="24"/>
          <w:szCs w:val="24"/>
        </w:rPr>
      </w:pPr>
    </w:p>
    <w:p w14:paraId="59CD7530" w14:textId="3A159D5D" w:rsidR="00A20527" w:rsidRDefault="00A20527" w:rsidP="00A20527">
      <w:pPr>
        <w:rPr>
          <w:sz w:val="24"/>
          <w:szCs w:val="24"/>
        </w:rPr>
      </w:pPr>
    </w:p>
    <w:p w14:paraId="6A42CAFB" w14:textId="1F71E2FE" w:rsidR="00A20527" w:rsidRDefault="00A20527" w:rsidP="00A20527">
      <w:pPr>
        <w:rPr>
          <w:sz w:val="24"/>
          <w:szCs w:val="24"/>
        </w:rPr>
      </w:pPr>
    </w:p>
    <w:p w14:paraId="6F1DDBA6" w14:textId="77777777" w:rsidR="00A20527" w:rsidRPr="00A70777" w:rsidRDefault="00A20527" w:rsidP="00A20527">
      <w:pPr>
        <w:rPr>
          <w:b/>
          <w:bCs/>
          <w:sz w:val="24"/>
          <w:szCs w:val="24"/>
        </w:rPr>
      </w:pPr>
    </w:p>
    <w:p w14:paraId="28A5DA15" w14:textId="2E5C233E" w:rsidR="00306641" w:rsidRDefault="00306641" w:rsidP="00306641">
      <w:pPr>
        <w:numPr>
          <w:ilvl w:val="0"/>
          <w:numId w:val="1"/>
        </w:numPr>
        <w:rPr>
          <w:sz w:val="24"/>
          <w:szCs w:val="24"/>
        </w:rPr>
      </w:pPr>
      <w:r w:rsidRPr="00306641">
        <w:rPr>
          <w:sz w:val="24"/>
          <w:szCs w:val="24"/>
        </w:rPr>
        <w:lastRenderedPageBreak/>
        <w:t>History 7905 (course change) (return)</w:t>
      </w:r>
    </w:p>
    <w:p w14:paraId="256D8173" w14:textId="35F8D776" w:rsidR="004A7676" w:rsidRPr="004A7676" w:rsidRDefault="004A7676" w:rsidP="004A7676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4A7676">
        <w:rPr>
          <w:i/>
          <w:iCs/>
          <w:sz w:val="24"/>
          <w:szCs w:val="24"/>
        </w:rPr>
        <w:t xml:space="preserve">The Panel suggests that the department include the most up-to-date version of the University’s Title IX statement, which can be found here: </w:t>
      </w:r>
      <w:hyperlink r:id="rId7" w:history="1">
        <w:r w:rsidRPr="004A7676">
          <w:rPr>
            <w:rStyle w:val="Hyperlink"/>
            <w:i/>
            <w:iCs/>
            <w:sz w:val="24"/>
            <w:szCs w:val="24"/>
          </w:rPr>
          <w:t>https://asccas.osu.edu/curriculum/syllabus-elements</w:t>
        </w:r>
      </w:hyperlink>
      <w:r w:rsidRPr="004A7676">
        <w:rPr>
          <w:i/>
          <w:iCs/>
          <w:sz w:val="24"/>
          <w:szCs w:val="24"/>
        </w:rPr>
        <w:t xml:space="preserve"> </w:t>
      </w:r>
    </w:p>
    <w:p w14:paraId="70D1AB89" w14:textId="065CC2F8" w:rsidR="003A49D6" w:rsidRDefault="001E0740" w:rsidP="0030664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curriculum.osu.edu form indicates that a student can enroll in this course for 1-6 credit hours, which contradicts information in the syllabus designating the class as 3CH</w:t>
      </w:r>
      <w:r w:rsidR="00DD0DD6">
        <w:rPr>
          <w:sz w:val="24"/>
          <w:szCs w:val="24"/>
        </w:rPr>
        <w:t>. Please let ASCC</w:t>
      </w:r>
      <w:r w:rsidR="00583AAE">
        <w:rPr>
          <w:sz w:val="24"/>
          <w:szCs w:val="24"/>
        </w:rPr>
        <w:t xml:space="preserve">AO know via return email if the office can </w:t>
      </w:r>
      <w:r w:rsidR="00DD0DD6">
        <w:rPr>
          <w:sz w:val="24"/>
          <w:szCs w:val="24"/>
        </w:rPr>
        <w:t xml:space="preserve">change the credit hours on the form in curriculum.osu.edu </w:t>
      </w:r>
      <w:r w:rsidR="00583AAE">
        <w:rPr>
          <w:sz w:val="24"/>
          <w:szCs w:val="24"/>
        </w:rPr>
        <w:t xml:space="preserve">to 3 cr. </w:t>
      </w:r>
      <w:r w:rsidR="00DD0DD6">
        <w:rPr>
          <w:sz w:val="24"/>
          <w:szCs w:val="24"/>
        </w:rPr>
        <w:t>before advancing the course.</w:t>
      </w:r>
    </w:p>
    <w:p w14:paraId="2C3585F7" w14:textId="6634557F" w:rsidR="00A35968" w:rsidRDefault="00A462C5" w:rsidP="0030664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this course </w:t>
      </w:r>
      <w:r w:rsidR="00DD0DD6">
        <w:rPr>
          <w:sz w:val="24"/>
          <w:szCs w:val="24"/>
        </w:rPr>
        <w:t xml:space="preserve">indeed </w:t>
      </w:r>
      <w:r>
        <w:rPr>
          <w:sz w:val="24"/>
          <w:szCs w:val="24"/>
        </w:rPr>
        <w:t xml:space="preserve">be S/U or </w:t>
      </w:r>
      <w:r w:rsidR="00DD0DD6">
        <w:rPr>
          <w:sz w:val="24"/>
          <w:szCs w:val="24"/>
        </w:rPr>
        <w:t xml:space="preserve">will it be </w:t>
      </w:r>
      <w:r>
        <w:rPr>
          <w:sz w:val="24"/>
          <w:szCs w:val="24"/>
        </w:rPr>
        <w:t>letter graded?  At present, the curriculum.osu.edu form and the submitted syllabi contradict each other</w:t>
      </w:r>
      <w:r w:rsidR="001D4B70">
        <w:rPr>
          <w:sz w:val="24"/>
          <w:szCs w:val="24"/>
        </w:rPr>
        <w:t xml:space="preserve"> with respect to this information; the document(s) should be amended to match accordingly</w:t>
      </w:r>
      <w:r>
        <w:rPr>
          <w:sz w:val="24"/>
          <w:szCs w:val="24"/>
        </w:rPr>
        <w:t xml:space="preserve">.  </w:t>
      </w:r>
    </w:p>
    <w:p w14:paraId="1054C0BC" w14:textId="2B6D050F" w:rsidR="00E51C40" w:rsidRPr="00306641" w:rsidRDefault="00E51C40" w:rsidP="0030664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Wilson, Parsons; </w:t>
      </w:r>
      <w:r w:rsidR="00C63079">
        <w:rPr>
          <w:b/>
          <w:bCs/>
          <w:sz w:val="24"/>
          <w:szCs w:val="24"/>
        </w:rPr>
        <w:t xml:space="preserve">unanimously approved </w:t>
      </w:r>
      <w:r w:rsidR="00C63079">
        <w:rPr>
          <w:sz w:val="24"/>
          <w:szCs w:val="24"/>
        </w:rPr>
        <w:t xml:space="preserve">with </w:t>
      </w:r>
      <w:r w:rsidR="003D2C82">
        <w:rPr>
          <w:i/>
          <w:iCs/>
          <w:sz w:val="24"/>
          <w:szCs w:val="24"/>
        </w:rPr>
        <w:t>one</w:t>
      </w:r>
      <w:r w:rsidR="00C63079">
        <w:rPr>
          <w:i/>
          <w:iCs/>
          <w:sz w:val="24"/>
          <w:szCs w:val="24"/>
        </w:rPr>
        <w:t xml:space="preserve"> (</w:t>
      </w:r>
      <w:r w:rsidR="003D2C82">
        <w:rPr>
          <w:i/>
          <w:iCs/>
          <w:sz w:val="24"/>
          <w:szCs w:val="24"/>
        </w:rPr>
        <w:t>1</w:t>
      </w:r>
      <w:r w:rsidR="00C63079">
        <w:rPr>
          <w:i/>
          <w:iCs/>
          <w:sz w:val="24"/>
          <w:szCs w:val="24"/>
        </w:rPr>
        <w:t xml:space="preserve">) recommendation </w:t>
      </w:r>
      <w:r w:rsidR="00C63079">
        <w:rPr>
          <w:sz w:val="24"/>
          <w:szCs w:val="24"/>
        </w:rPr>
        <w:t xml:space="preserve">(in italics above) and two (2) </w:t>
      </w:r>
      <w:r w:rsidR="00DD0DD6">
        <w:rPr>
          <w:sz w:val="24"/>
          <w:szCs w:val="24"/>
        </w:rPr>
        <w:t xml:space="preserve">questions </w:t>
      </w:r>
    </w:p>
    <w:p w14:paraId="7DAC0E2C" w14:textId="414557A5" w:rsidR="00306641" w:rsidRDefault="00306641" w:rsidP="00306641">
      <w:pPr>
        <w:numPr>
          <w:ilvl w:val="0"/>
          <w:numId w:val="1"/>
        </w:numPr>
        <w:rPr>
          <w:sz w:val="24"/>
          <w:szCs w:val="24"/>
        </w:rPr>
      </w:pPr>
      <w:r w:rsidRPr="00306641">
        <w:rPr>
          <w:sz w:val="24"/>
          <w:szCs w:val="24"/>
        </w:rPr>
        <w:t>Spanish BA—request to withdraw the Hispanic Studies track</w:t>
      </w:r>
    </w:p>
    <w:p w14:paraId="1C401D06" w14:textId="6D06E7FE" w:rsidR="00306641" w:rsidRPr="00306641" w:rsidRDefault="000B66C8" w:rsidP="0030664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Wilson, Parsons; </w:t>
      </w:r>
      <w:r>
        <w:rPr>
          <w:b/>
          <w:bCs/>
          <w:sz w:val="24"/>
          <w:szCs w:val="24"/>
        </w:rPr>
        <w:t xml:space="preserve">unanimously approved </w:t>
      </w:r>
    </w:p>
    <w:p w14:paraId="4CA8B72D" w14:textId="62A63EFA" w:rsidR="00306641" w:rsidRDefault="00306641" w:rsidP="00306641">
      <w:pPr>
        <w:numPr>
          <w:ilvl w:val="0"/>
          <w:numId w:val="1"/>
        </w:numPr>
        <w:rPr>
          <w:sz w:val="24"/>
          <w:szCs w:val="24"/>
        </w:rPr>
      </w:pPr>
      <w:r w:rsidRPr="00306641">
        <w:rPr>
          <w:sz w:val="24"/>
          <w:szCs w:val="24"/>
        </w:rPr>
        <w:t>Revision to the GIS in Singing Health (return)</w:t>
      </w:r>
    </w:p>
    <w:p w14:paraId="1ECAE7D2" w14:textId="50AC1100" w:rsidR="00306641" w:rsidRPr="00306641" w:rsidRDefault="00E2276F" w:rsidP="0030664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Parsons, Wilson; </w:t>
      </w:r>
      <w:r>
        <w:rPr>
          <w:b/>
          <w:bCs/>
          <w:sz w:val="24"/>
          <w:szCs w:val="24"/>
        </w:rPr>
        <w:t>unanimously approved</w:t>
      </w:r>
    </w:p>
    <w:p w14:paraId="7F8829A9" w14:textId="692C2573" w:rsidR="00306641" w:rsidRDefault="00306641" w:rsidP="00306641">
      <w:pPr>
        <w:numPr>
          <w:ilvl w:val="0"/>
          <w:numId w:val="1"/>
        </w:numPr>
        <w:rPr>
          <w:sz w:val="24"/>
          <w:szCs w:val="24"/>
        </w:rPr>
      </w:pPr>
      <w:r w:rsidRPr="00306641">
        <w:rPr>
          <w:sz w:val="24"/>
          <w:szCs w:val="24"/>
        </w:rPr>
        <w:t>Linguistics 4052 (existing course currently listed as 2052H; change to upper-division course; remove Honors status; remove GEL Mathematical or Logical Analysis)</w:t>
      </w:r>
    </w:p>
    <w:p w14:paraId="6E1947A9" w14:textId="35DB5045" w:rsidR="00561C87" w:rsidRDefault="00A43268" w:rsidP="00060567">
      <w:pPr>
        <w:numPr>
          <w:ilvl w:val="1"/>
          <w:numId w:val="1"/>
        </w:numPr>
        <w:spacing w:line="252" w:lineRule="auto"/>
        <w:rPr>
          <w:i/>
          <w:iCs/>
          <w:sz w:val="24"/>
          <w:szCs w:val="24"/>
        </w:rPr>
      </w:pPr>
      <w:r w:rsidRPr="00060567">
        <w:rPr>
          <w:i/>
          <w:iCs/>
          <w:sz w:val="24"/>
          <w:szCs w:val="24"/>
        </w:rPr>
        <w:t xml:space="preserve">On page </w:t>
      </w:r>
      <w:r w:rsidR="00060567" w:rsidRPr="00060567">
        <w:rPr>
          <w:i/>
          <w:iCs/>
          <w:sz w:val="24"/>
          <w:szCs w:val="24"/>
        </w:rPr>
        <w:t>6</w:t>
      </w:r>
      <w:r w:rsidRPr="00060567">
        <w:rPr>
          <w:i/>
          <w:iCs/>
          <w:sz w:val="24"/>
          <w:szCs w:val="24"/>
        </w:rPr>
        <w:t xml:space="preserve"> of the syllabus, there is a reference to the course as an “online” class</w:t>
      </w:r>
      <w:r w:rsidR="00060567" w:rsidRPr="00060567">
        <w:rPr>
          <w:i/>
          <w:iCs/>
          <w:sz w:val="24"/>
          <w:szCs w:val="24"/>
        </w:rPr>
        <w:t xml:space="preserve"> (e.g., “finishing problem sets offline”)</w:t>
      </w:r>
      <w:r w:rsidRPr="00060567">
        <w:rPr>
          <w:i/>
          <w:iCs/>
          <w:sz w:val="24"/>
          <w:szCs w:val="24"/>
        </w:rPr>
        <w:t>; the Panel recommends removing this language, as well as double-checking the syllabus document to edit out any similar discrepancies</w:t>
      </w:r>
      <w:r w:rsidR="00060567" w:rsidRPr="00060567">
        <w:rPr>
          <w:i/>
          <w:iCs/>
          <w:sz w:val="24"/>
          <w:szCs w:val="24"/>
        </w:rPr>
        <w:t>.</w:t>
      </w:r>
    </w:p>
    <w:p w14:paraId="39A32E66" w14:textId="70C11792" w:rsidR="00C236CE" w:rsidRPr="00C236CE" w:rsidRDefault="00C236CE" w:rsidP="00C236C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Panel kindly notes that, should the department offer this course before it receives the desired GE Themes designation, the instructor should remove the respective </w:t>
      </w:r>
      <w:r w:rsidR="00E75396">
        <w:rPr>
          <w:sz w:val="24"/>
          <w:szCs w:val="24"/>
        </w:rPr>
        <w:t xml:space="preserve">Themes </w:t>
      </w:r>
      <w:r>
        <w:rPr>
          <w:sz w:val="24"/>
          <w:szCs w:val="24"/>
        </w:rPr>
        <w:t>goals and ELOs from the syllabus</w:t>
      </w:r>
      <w:r w:rsidR="00E75396">
        <w:rPr>
          <w:sz w:val="24"/>
          <w:szCs w:val="24"/>
        </w:rPr>
        <w:t xml:space="preserve"> for that term</w:t>
      </w:r>
      <w:r>
        <w:rPr>
          <w:sz w:val="24"/>
          <w:szCs w:val="24"/>
        </w:rPr>
        <w:t xml:space="preserve">.  </w:t>
      </w:r>
    </w:p>
    <w:p w14:paraId="0B0EC4DF" w14:textId="206FB2E5" w:rsidR="00122DC3" w:rsidRPr="00306641" w:rsidRDefault="00122DC3" w:rsidP="0030664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Wilson, Parsons; </w:t>
      </w:r>
      <w:r>
        <w:rPr>
          <w:b/>
          <w:bCs/>
          <w:sz w:val="24"/>
          <w:szCs w:val="24"/>
        </w:rPr>
        <w:t xml:space="preserve">unanimously approved </w:t>
      </w:r>
      <w:r>
        <w:rPr>
          <w:sz w:val="24"/>
          <w:szCs w:val="24"/>
        </w:rPr>
        <w:t xml:space="preserve">with </w:t>
      </w:r>
      <w:r>
        <w:rPr>
          <w:i/>
          <w:iCs/>
          <w:sz w:val="24"/>
          <w:szCs w:val="24"/>
        </w:rPr>
        <w:t>one (1) recommendation</w:t>
      </w:r>
      <w:r>
        <w:rPr>
          <w:sz w:val="24"/>
          <w:szCs w:val="24"/>
        </w:rPr>
        <w:t xml:space="preserve"> (in italics above) and one (1) comment</w:t>
      </w:r>
    </w:p>
    <w:p w14:paraId="5A5103CC" w14:textId="2DFF40A4" w:rsidR="00306641" w:rsidRDefault="00306641" w:rsidP="00306641">
      <w:pPr>
        <w:numPr>
          <w:ilvl w:val="0"/>
          <w:numId w:val="1"/>
        </w:numPr>
        <w:rPr>
          <w:sz w:val="24"/>
          <w:szCs w:val="24"/>
        </w:rPr>
      </w:pPr>
      <w:r w:rsidRPr="00306641">
        <w:rPr>
          <w:sz w:val="24"/>
          <w:szCs w:val="24"/>
        </w:rPr>
        <w:t>Linguistics 2501 (existing course currently listed as 1100; change to 2000 level; GEL: Social Science—Individuals and Groups &amp; Diversity-Global Studies; will become GEN Foundation: Social and Behavioral Sciences</w:t>
      </w:r>
      <w:r w:rsidR="00583AAE">
        <w:rPr>
          <w:sz w:val="24"/>
          <w:szCs w:val="24"/>
        </w:rPr>
        <w:t>)</w:t>
      </w:r>
    </w:p>
    <w:p w14:paraId="716A168A" w14:textId="0650F532" w:rsidR="004B764A" w:rsidRPr="004B764A" w:rsidRDefault="004B764A" w:rsidP="004B764A">
      <w:pPr>
        <w:numPr>
          <w:ilvl w:val="1"/>
          <w:numId w:val="1"/>
        </w:numPr>
        <w:spacing w:line="259" w:lineRule="auto"/>
        <w:rPr>
          <w:i/>
          <w:iCs/>
          <w:sz w:val="24"/>
          <w:szCs w:val="24"/>
        </w:rPr>
      </w:pPr>
      <w:r w:rsidRPr="004B764A">
        <w:rPr>
          <w:i/>
          <w:iCs/>
          <w:sz w:val="24"/>
          <w:szCs w:val="24"/>
        </w:rPr>
        <w:lastRenderedPageBreak/>
        <w:t xml:space="preserve">The Panel encourages the department to indicate under which categories the course counts for both the Legacy GE and the GEN GE, clearly distinguishing between the two.  </w:t>
      </w:r>
    </w:p>
    <w:p w14:paraId="15C4F4B1" w14:textId="645F0F7C" w:rsidR="00657A2C" w:rsidRPr="00306641" w:rsidRDefault="00657A2C" w:rsidP="0030664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Wilson, Parsons; </w:t>
      </w:r>
      <w:r>
        <w:rPr>
          <w:b/>
          <w:bCs/>
          <w:sz w:val="24"/>
          <w:szCs w:val="24"/>
        </w:rPr>
        <w:t>unanimously approved</w:t>
      </w:r>
      <w:r>
        <w:rPr>
          <w:sz w:val="24"/>
          <w:szCs w:val="24"/>
        </w:rPr>
        <w:t xml:space="preserve"> with </w:t>
      </w:r>
      <w:r>
        <w:rPr>
          <w:i/>
          <w:iCs/>
          <w:sz w:val="24"/>
          <w:szCs w:val="24"/>
        </w:rPr>
        <w:t>one (1) recommendation</w:t>
      </w:r>
      <w:r>
        <w:rPr>
          <w:sz w:val="24"/>
          <w:szCs w:val="24"/>
        </w:rPr>
        <w:t xml:space="preserve"> (in italics above)</w:t>
      </w:r>
    </w:p>
    <w:p w14:paraId="3262F0BF" w14:textId="77777777" w:rsidR="005B08EC" w:rsidRDefault="005B08EC"/>
    <w:sectPr w:rsidR="005B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264"/>
    <w:multiLevelType w:val="multilevel"/>
    <w:tmpl w:val="C1F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92D27"/>
    <w:multiLevelType w:val="multilevel"/>
    <w:tmpl w:val="532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22276"/>
    <w:multiLevelType w:val="hybridMultilevel"/>
    <w:tmpl w:val="9F7A9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25896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015709">
    <w:abstractNumId w:val="2"/>
  </w:num>
  <w:num w:numId="3" w16cid:durableId="1597597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91"/>
    <w:rsid w:val="00060567"/>
    <w:rsid w:val="0006547E"/>
    <w:rsid w:val="00077259"/>
    <w:rsid w:val="000A5025"/>
    <w:rsid w:val="000B66C8"/>
    <w:rsid w:val="00122DC3"/>
    <w:rsid w:val="00124288"/>
    <w:rsid w:val="001327DC"/>
    <w:rsid w:val="00144AE4"/>
    <w:rsid w:val="00157C1E"/>
    <w:rsid w:val="001D4B70"/>
    <w:rsid w:val="001E0740"/>
    <w:rsid w:val="00246643"/>
    <w:rsid w:val="002B7AE3"/>
    <w:rsid w:val="002E7EA6"/>
    <w:rsid w:val="00301C3E"/>
    <w:rsid w:val="00306641"/>
    <w:rsid w:val="00320EDB"/>
    <w:rsid w:val="00360D46"/>
    <w:rsid w:val="003A49D6"/>
    <w:rsid w:val="003D2C82"/>
    <w:rsid w:val="003F34C9"/>
    <w:rsid w:val="00410062"/>
    <w:rsid w:val="004226F7"/>
    <w:rsid w:val="00441FA7"/>
    <w:rsid w:val="0045128A"/>
    <w:rsid w:val="0045799A"/>
    <w:rsid w:val="00470BF7"/>
    <w:rsid w:val="004A7676"/>
    <w:rsid w:val="004B764A"/>
    <w:rsid w:val="00561C87"/>
    <w:rsid w:val="00583AAE"/>
    <w:rsid w:val="005B08EC"/>
    <w:rsid w:val="005B3014"/>
    <w:rsid w:val="006546B7"/>
    <w:rsid w:val="00657A2C"/>
    <w:rsid w:val="006821FB"/>
    <w:rsid w:val="00686D93"/>
    <w:rsid w:val="006E4B43"/>
    <w:rsid w:val="00722D2A"/>
    <w:rsid w:val="00774854"/>
    <w:rsid w:val="0079147F"/>
    <w:rsid w:val="007A2F82"/>
    <w:rsid w:val="007D47A6"/>
    <w:rsid w:val="008209C2"/>
    <w:rsid w:val="00834E71"/>
    <w:rsid w:val="00882E48"/>
    <w:rsid w:val="00902DC8"/>
    <w:rsid w:val="00955FA7"/>
    <w:rsid w:val="00960625"/>
    <w:rsid w:val="00A05B02"/>
    <w:rsid w:val="00A078DA"/>
    <w:rsid w:val="00A10F49"/>
    <w:rsid w:val="00A20527"/>
    <w:rsid w:val="00A35968"/>
    <w:rsid w:val="00A43268"/>
    <w:rsid w:val="00A462C5"/>
    <w:rsid w:val="00A70777"/>
    <w:rsid w:val="00B203B1"/>
    <w:rsid w:val="00B204FA"/>
    <w:rsid w:val="00B65A33"/>
    <w:rsid w:val="00B94F9F"/>
    <w:rsid w:val="00BD2C97"/>
    <w:rsid w:val="00BD44C4"/>
    <w:rsid w:val="00C236CE"/>
    <w:rsid w:val="00C63079"/>
    <w:rsid w:val="00D10CF2"/>
    <w:rsid w:val="00D158E2"/>
    <w:rsid w:val="00D6035F"/>
    <w:rsid w:val="00D73D63"/>
    <w:rsid w:val="00D90A0E"/>
    <w:rsid w:val="00DD0DD6"/>
    <w:rsid w:val="00E03529"/>
    <w:rsid w:val="00E2276F"/>
    <w:rsid w:val="00E51C40"/>
    <w:rsid w:val="00E54480"/>
    <w:rsid w:val="00E75396"/>
    <w:rsid w:val="00E82265"/>
    <w:rsid w:val="00E9069A"/>
    <w:rsid w:val="00E9521A"/>
    <w:rsid w:val="00EA3A91"/>
    <w:rsid w:val="00F2247B"/>
    <w:rsid w:val="00F259B3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C685"/>
  <w15:chartTrackingRefBased/>
  <w15:docId w15:val="{3827C471-75BF-4262-8ED7-D08ABA7A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9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2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sccas.osu.edu/curriculum/syllabus-el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aa.osu.edu/ohio-state-ge-prog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0291-9E60-4717-88D7-DDBF30D2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3</cp:revision>
  <dcterms:created xsi:type="dcterms:W3CDTF">2022-05-18T14:32:00Z</dcterms:created>
  <dcterms:modified xsi:type="dcterms:W3CDTF">2022-05-18T14:32:00Z</dcterms:modified>
</cp:coreProperties>
</file>